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19" w:rsidRPr="008E1DF8" w:rsidRDefault="00262A19" w:rsidP="00CF46C7">
      <w:pPr>
        <w:shd w:val="clear" w:color="auto" w:fill="FFFFFF"/>
        <w:spacing w:after="0" w:line="435" w:lineRule="atLeast"/>
        <w:jc w:val="center"/>
        <w:outlineLvl w:val="3"/>
        <w:rPr>
          <w:rFonts w:ascii="Arial" w:hAnsi="Arial" w:cs="Arial"/>
          <w:sz w:val="24"/>
          <w:szCs w:val="24"/>
          <w:lang w:val="uk-UA" w:eastAsia="ru-RU"/>
        </w:rPr>
      </w:pPr>
      <w:r w:rsidRPr="008E1DF8">
        <w:rPr>
          <w:rFonts w:ascii="Arial" w:hAnsi="Arial" w:cs="Arial"/>
          <w:sz w:val="24"/>
          <w:szCs w:val="24"/>
          <w:lang w:val="uk-UA" w:eastAsia="ru-RU"/>
        </w:rPr>
        <w:t xml:space="preserve">ВІДКРИТЕ АКЦІОНЕРНЕ ТОВАРИСТВО «СУПУТНИК», </w:t>
      </w:r>
    </w:p>
    <w:p w:rsidR="00262A19" w:rsidRPr="008E1DF8" w:rsidRDefault="00262A19" w:rsidP="00CF46C7">
      <w:pPr>
        <w:shd w:val="clear" w:color="auto" w:fill="FFFFFF"/>
        <w:spacing w:after="0" w:line="435" w:lineRule="atLeast"/>
        <w:jc w:val="center"/>
        <w:outlineLvl w:val="3"/>
        <w:rPr>
          <w:rFonts w:ascii="Arial" w:hAnsi="Arial" w:cs="Arial"/>
          <w:szCs w:val="24"/>
          <w:lang w:val="uk-UA" w:eastAsia="ru-RU"/>
        </w:rPr>
      </w:pPr>
      <w:r w:rsidRPr="008E1DF8">
        <w:rPr>
          <w:rFonts w:ascii="Arial" w:hAnsi="Arial" w:cs="Arial"/>
          <w:szCs w:val="24"/>
          <w:lang w:val="uk-UA" w:eastAsia="ru-RU"/>
        </w:rPr>
        <w:t>місцезнаходження: м. Запоріжжя, вул. Новобудов, 9</w:t>
      </w:r>
    </w:p>
    <w:p w:rsidR="00262A19" w:rsidRPr="008E1DF8" w:rsidRDefault="00262A19" w:rsidP="005B379C">
      <w:pPr>
        <w:shd w:val="clear" w:color="auto" w:fill="FFFFFF"/>
        <w:spacing w:after="0" w:line="300" w:lineRule="atLeast"/>
        <w:ind w:firstLine="360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 xml:space="preserve">Повідомляє, що </w:t>
      </w:r>
      <w:hyperlink r:id="rId6" w:anchor="1611" w:tgtFrame="_top" w:history="1">
        <w:r>
          <w:rPr>
            <w:rFonts w:ascii="Arial" w:hAnsi="Arial" w:cs="Arial"/>
            <w:sz w:val="20"/>
            <w:szCs w:val="20"/>
            <w:lang w:val="uk-UA"/>
          </w:rPr>
          <w:t>09</w:t>
        </w:r>
        <w:r w:rsidRPr="008E1DF8">
          <w:rPr>
            <w:rFonts w:ascii="Arial" w:hAnsi="Arial" w:cs="Arial"/>
            <w:sz w:val="20"/>
            <w:szCs w:val="20"/>
            <w:lang w:val="uk-UA"/>
          </w:rPr>
          <w:t xml:space="preserve"> </w:t>
        </w:r>
        <w:r>
          <w:rPr>
            <w:rFonts w:ascii="Arial" w:hAnsi="Arial" w:cs="Arial"/>
            <w:sz w:val="20"/>
            <w:szCs w:val="20"/>
            <w:lang w:val="uk-UA"/>
          </w:rPr>
          <w:t>вересня</w:t>
        </w:r>
        <w:r w:rsidRPr="008E1DF8">
          <w:rPr>
            <w:rFonts w:ascii="Arial" w:hAnsi="Arial" w:cs="Arial"/>
            <w:sz w:val="20"/>
            <w:szCs w:val="20"/>
            <w:lang w:val="uk-UA"/>
          </w:rPr>
          <w:t xml:space="preserve"> 201</w:t>
        </w:r>
        <w:r>
          <w:rPr>
            <w:rFonts w:ascii="Arial" w:hAnsi="Arial" w:cs="Arial"/>
            <w:sz w:val="20"/>
            <w:szCs w:val="20"/>
            <w:lang w:val="uk-UA"/>
          </w:rPr>
          <w:t>3</w:t>
        </w:r>
        <w:r w:rsidRPr="008E1DF8">
          <w:rPr>
            <w:rFonts w:ascii="Arial" w:hAnsi="Arial" w:cs="Arial"/>
            <w:sz w:val="20"/>
            <w:szCs w:val="20"/>
            <w:lang w:val="uk-UA"/>
          </w:rPr>
          <w:t xml:space="preserve"> року о 10-00 годині  на території заводу за адресою: м. Запоріжжя, вул. Новобудов, 9</w:t>
        </w:r>
        <w:r w:rsidRPr="008E1DF8">
          <w:rPr>
            <w:lang w:val="uk-UA"/>
          </w:rPr>
          <w:t xml:space="preserve">, прохідна, кім. 1, </w:t>
        </w:r>
        <w:r w:rsidRPr="008E1DF8">
          <w:rPr>
            <w:rFonts w:ascii="Arial" w:hAnsi="Arial" w:cs="Arial"/>
            <w:sz w:val="20"/>
            <w:szCs w:val="20"/>
            <w:lang w:val="uk-UA"/>
          </w:rPr>
          <w:t xml:space="preserve">відбудуться чергові  загальні збори акціонерів. Реєстрація акціонерів для участі у загальних зборах відбудеться з 9-30 до 9-55. Перелік акціонерів, які мають право на участь у загальних зборах буде складений на </w:t>
        </w:r>
        <w:r>
          <w:rPr>
            <w:rFonts w:ascii="Arial" w:hAnsi="Arial" w:cs="Arial"/>
            <w:sz w:val="20"/>
            <w:szCs w:val="20"/>
            <w:lang w:val="uk-UA"/>
          </w:rPr>
          <w:t>03</w:t>
        </w:r>
        <w:r w:rsidRPr="008E1DF8">
          <w:rPr>
            <w:rFonts w:ascii="Arial" w:hAnsi="Arial" w:cs="Arial"/>
            <w:sz w:val="20"/>
            <w:szCs w:val="20"/>
            <w:lang w:val="uk-UA"/>
          </w:rPr>
          <w:t>.</w:t>
        </w:r>
        <w:r>
          <w:rPr>
            <w:rFonts w:ascii="Arial" w:hAnsi="Arial" w:cs="Arial"/>
            <w:sz w:val="20"/>
            <w:szCs w:val="20"/>
            <w:lang w:val="uk-UA"/>
          </w:rPr>
          <w:t>09</w:t>
        </w:r>
        <w:r w:rsidRPr="008E1DF8">
          <w:rPr>
            <w:rFonts w:ascii="Arial" w:hAnsi="Arial" w:cs="Arial"/>
            <w:sz w:val="20"/>
            <w:szCs w:val="20"/>
            <w:lang w:val="uk-UA"/>
          </w:rPr>
          <w:t>.201</w:t>
        </w:r>
        <w:r>
          <w:rPr>
            <w:rFonts w:ascii="Arial" w:hAnsi="Arial" w:cs="Arial"/>
            <w:sz w:val="20"/>
            <w:szCs w:val="20"/>
            <w:lang w:val="uk-UA"/>
          </w:rPr>
          <w:t>3</w:t>
        </w:r>
        <w:r w:rsidRPr="008E1DF8">
          <w:rPr>
            <w:rFonts w:ascii="Arial" w:hAnsi="Arial" w:cs="Arial"/>
            <w:sz w:val="20"/>
            <w:szCs w:val="20"/>
            <w:lang w:val="uk-UA"/>
          </w:rPr>
          <w:t>р. Порядок денний:</w:t>
        </w:r>
      </w:hyperlink>
    </w:p>
    <w:p w:rsidR="00262A19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Обрання голови та секретаря загальних зборів акціонерів.</w:t>
      </w:r>
    </w:p>
    <w:p w:rsidR="00262A19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Обрання членів лічильної комісії.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Затвердження порядку голосування та регламенту зборів.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Звіт керуючого санацією, прийняття рішення за наслідками розгляду звіту.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Затвердження річного звіту та балансу Товариства за 201</w:t>
      </w:r>
      <w:r>
        <w:rPr>
          <w:rFonts w:ascii="Arial" w:hAnsi="Arial" w:cs="Arial"/>
          <w:sz w:val="20"/>
          <w:szCs w:val="20"/>
          <w:lang w:val="uk-UA"/>
        </w:rPr>
        <w:t>2</w:t>
      </w:r>
      <w:r w:rsidRPr="008E1DF8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Розподіл прибутку/збитків ВАТ «СУПУТНИК».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Прийняття рішення про зміну найменування ВАТ «С</w:t>
      </w:r>
      <w:r>
        <w:rPr>
          <w:rFonts w:ascii="Arial" w:hAnsi="Arial" w:cs="Arial"/>
          <w:sz w:val="20"/>
          <w:szCs w:val="20"/>
          <w:lang w:val="uk-UA"/>
        </w:rPr>
        <w:t>УПУТНИК</w:t>
      </w:r>
      <w:r w:rsidRPr="008E1DF8">
        <w:rPr>
          <w:rFonts w:ascii="Arial" w:hAnsi="Arial" w:cs="Arial"/>
          <w:sz w:val="20"/>
          <w:szCs w:val="20"/>
          <w:lang w:val="uk-UA"/>
        </w:rPr>
        <w:t>» на ПАТ «СУПУТНИК».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умов контракту, оплати та кількісного складу наглядової ради Товариства.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Затвердження Статуту Товариства в новій редакції у зв’язку із приведенням його у відповідність до вимог Закону України «Про акціонерні товариства».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Генерального директора.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наглядової ради.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уповноваженої особи Товариства на підписання контрактів з членами наглядової ради.</w:t>
      </w:r>
    </w:p>
    <w:p w:rsidR="00262A19" w:rsidRPr="008E1DF8" w:rsidRDefault="00262A19" w:rsidP="008B1FBD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Про обрання ревізійної комісії.</w:t>
      </w:r>
    </w:p>
    <w:p w:rsidR="00262A19" w:rsidRDefault="00262A19" w:rsidP="006648A1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 w:rsidRPr="008E1DF8">
        <w:rPr>
          <w:rFonts w:ascii="Arial" w:hAnsi="Arial" w:cs="Arial"/>
          <w:sz w:val="20"/>
          <w:szCs w:val="20"/>
          <w:lang w:val="uk-UA"/>
        </w:rPr>
        <w:t>Визначення основних напрямків діяльності товариства на 201</w:t>
      </w:r>
      <w:r>
        <w:rPr>
          <w:rFonts w:ascii="Arial" w:hAnsi="Arial" w:cs="Arial"/>
          <w:sz w:val="20"/>
          <w:szCs w:val="20"/>
          <w:lang w:val="uk-UA"/>
        </w:rPr>
        <w:t>3</w:t>
      </w:r>
      <w:r w:rsidRPr="008E1DF8">
        <w:rPr>
          <w:rFonts w:ascii="Arial" w:hAnsi="Arial" w:cs="Arial"/>
          <w:sz w:val="20"/>
          <w:szCs w:val="20"/>
          <w:lang w:val="uk-UA"/>
        </w:rPr>
        <w:t xml:space="preserve"> рік.</w:t>
      </w:r>
    </w:p>
    <w:p w:rsidR="00262A19" w:rsidRPr="008E1DF8" w:rsidRDefault="00262A19" w:rsidP="006648A1">
      <w:pPr>
        <w:pStyle w:val="a5"/>
        <w:numPr>
          <w:ilvl w:val="0"/>
          <w:numId w:val="3"/>
        </w:numPr>
        <w:shd w:val="clear" w:color="auto" w:fill="FFFFFF"/>
        <w:spacing w:after="0" w:line="300" w:lineRule="atLeast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Затвердження Положення про виконавчий орган, Положення про Наглядову раду, Положення про Ревізійну комісію, Положення про загальні збори, Положення про інформацію.</w:t>
      </w:r>
    </w:p>
    <w:p w:rsidR="00262A19" w:rsidRPr="008E1DF8" w:rsidRDefault="00262A19" w:rsidP="008E1DF8">
      <w:pPr>
        <w:pStyle w:val="a5"/>
        <w:shd w:val="clear" w:color="auto" w:fill="FFFFFF"/>
        <w:spacing w:after="0" w:line="300" w:lineRule="atLeast"/>
        <w:ind w:left="1425"/>
        <w:jc w:val="both"/>
        <w:rPr>
          <w:rFonts w:ascii="Arial" w:hAnsi="Arial" w:cs="Arial"/>
          <w:sz w:val="20"/>
          <w:szCs w:val="20"/>
          <w:lang w:val="uk-UA"/>
        </w:rPr>
      </w:pPr>
    </w:p>
    <w:p w:rsidR="00262A19" w:rsidRPr="008E1DF8" w:rsidRDefault="00262A19" w:rsidP="00843198">
      <w:pPr>
        <w:keepLines/>
        <w:shd w:val="clear" w:color="auto" w:fill="FFFFFF"/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uk-UA" w:eastAsia="ru-RU"/>
        </w:rPr>
      </w:pPr>
      <w:r w:rsidRPr="008E1DF8">
        <w:rPr>
          <w:rFonts w:ascii="Arial" w:hAnsi="Arial" w:cs="Arial"/>
          <w:i/>
          <w:sz w:val="20"/>
          <w:szCs w:val="20"/>
          <w:lang w:val="uk-UA" w:eastAsia="ru-RU"/>
        </w:rPr>
        <w:t xml:space="preserve">З матеріалами з питань порядку денного зборів акціонери можуть ознайомитися на території заводу за адресою: м. Запоріжжя, вул. Новобудов, 9 </w:t>
      </w:r>
      <w:r>
        <w:rPr>
          <w:rFonts w:ascii="Arial" w:hAnsi="Arial" w:cs="Arial"/>
          <w:i/>
          <w:sz w:val="20"/>
          <w:szCs w:val="20"/>
          <w:lang w:val="uk-UA" w:eastAsia="ru-RU"/>
        </w:rPr>
        <w:t>кім. 1 з 9-00 до 15-30 в будні дні</w:t>
      </w:r>
      <w:r w:rsidRPr="008E1DF8">
        <w:rPr>
          <w:rFonts w:ascii="Arial" w:hAnsi="Arial" w:cs="Arial"/>
          <w:i/>
          <w:sz w:val="20"/>
          <w:szCs w:val="20"/>
          <w:lang w:val="uk-UA" w:eastAsia="ru-RU"/>
        </w:rPr>
        <w:t xml:space="preserve">. Особа, відповідальна за порядок ознайомлення акціонерів з документами, </w:t>
      </w:r>
      <w:proofErr w:type="spellStart"/>
      <w:r w:rsidRPr="008E1DF8">
        <w:rPr>
          <w:rFonts w:ascii="Arial" w:hAnsi="Arial" w:cs="Arial"/>
          <w:i/>
          <w:sz w:val="20"/>
          <w:szCs w:val="20"/>
          <w:lang w:val="uk-UA" w:eastAsia="ru-RU"/>
        </w:rPr>
        <w:t>Анцюнас</w:t>
      </w:r>
      <w:proofErr w:type="spellEnd"/>
      <w:r w:rsidRPr="008E1DF8">
        <w:rPr>
          <w:rFonts w:ascii="Arial" w:hAnsi="Arial" w:cs="Arial"/>
          <w:i/>
          <w:sz w:val="20"/>
          <w:szCs w:val="20"/>
          <w:lang w:val="uk-UA" w:eastAsia="ru-RU"/>
        </w:rPr>
        <w:t xml:space="preserve"> Ігор Олександрович, тел. (061) 216-02-57</w:t>
      </w:r>
    </w:p>
    <w:p w:rsidR="00262A19" w:rsidRPr="00034B16" w:rsidRDefault="00314C54" w:rsidP="00716370">
      <w:pPr>
        <w:shd w:val="clear" w:color="auto" w:fill="FFFFFF"/>
        <w:spacing w:after="0" w:line="300" w:lineRule="atLeast"/>
        <w:jc w:val="both"/>
        <w:rPr>
          <w:rFonts w:ascii="Arial" w:hAnsi="Arial" w:cs="Arial"/>
          <w:szCs w:val="24"/>
          <w:lang w:val="uk-UA" w:eastAsia="ru-RU"/>
        </w:rPr>
      </w:pPr>
      <w:hyperlink r:id="rId7" w:anchor="1616" w:tgtFrame="_top" w:history="1">
        <w:r w:rsidR="00262A19" w:rsidRPr="00034B16">
          <w:rPr>
            <w:rFonts w:ascii="Arial" w:hAnsi="Arial" w:cs="Arial"/>
            <w:szCs w:val="24"/>
            <w:lang w:val="uk-UA" w:eastAsia="ru-RU"/>
          </w:rPr>
          <w:t>Основні показники фінансово-господарської діяльності підприємства (тис. грн.)</w:t>
        </w:r>
      </w:hyperlink>
    </w:p>
    <w:tbl>
      <w:tblPr>
        <w:tblW w:w="10354" w:type="dxa"/>
        <w:tblCellSpacing w:w="22" w:type="dxa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54"/>
        <w:gridCol w:w="1014"/>
        <w:gridCol w:w="1286"/>
      </w:tblGrid>
      <w:tr w:rsidR="00262A19" w:rsidRPr="00034B16" w:rsidTr="003230E5">
        <w:trPr>
          <w:tblCellSpacing w:w="22" w:type="dxa"/>
        </w:trPr>
        <w:tc>
          <w:tcPr>
            <w:tcW w:w="7988" w:type="dxa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rvps1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8" w:anchor="1617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Найменування показника </w:t>
              </w:r>
            </w:hyperlink>
          </w:p>
        </w:tc>
        <w:tc>
          <w:tcPr>
            <w:tcW w:w="2234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rvps1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9" w:anchor="1618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Період </w:t>
              </w:r>
            </w:hyperlink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</w:tcPr>
          <w:p w:rsidR="00262A19" w:rsidRPr="00034B16" w:rsidRDefault="00262A19" w:rsidP="00526AE7">
            <w:pPr>
              <w:spacing w:after="0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rvps1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0" w:anchor="1619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звітний </w:t>
              </w:r>
            </w:hyperlink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rvps1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1" w:anchor="1620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попередній </w:t>
              </w:r>
            </w:hyperlink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2" w:anchor="1621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Усього активів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9605,6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3230E5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9094,5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3" w:anchor="1622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Основні засоби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6948,4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7147,9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4" w:anchor="1623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Довгострокові фінансові інвестиції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5" w:anchor="1624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Запаси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1603,2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1607,9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6" w:anchor="1625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Сумарна дебіторська заборгованість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124,9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162,6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7" w:anchor="1626" w:history="1">
              <w:proofErr w:type="spellStart"/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Грошовікошти</w:t>
              </w:r>
              <w:proofErr w:type="spellEnd"/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 xml:space="preserve"> та їх еквіваленти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662,8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169,0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8" w:anchor="1627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Нерозподілений прибуток </w:t>
              </w:r>
            </w:hyperlink>
            <w:r w:rsidR="00262A19" w:rsidRPr="00034B16">
              <w:rPr>
                <w:rStyle w:val="a3"/>
                <w:rFonts w:ascii="Arial" w:hAnsi="Arial" w:cs="Arial"/>
                <w:color w:val="auto"/>
                <w:sz w:val="18"/>
                <w:szCs w:val="18"/>
                <w:lang w:val="uk-UA"/>
              </w:rPr>
              <w:t>(збиток)</w:t>
            </w:r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(8869,7)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(9087,1)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19" w:anchor="1628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Власний капітал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-209,3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-426,7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0" w:anchor="1629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Статутний капітал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5501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5501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1" w:anchor="1630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Довгострокові зобов'язання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2" w:anchor="1631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Поточні зобов'язання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9814,9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9521,2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3" w:anchor="1632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Чистий прибуток (збиток)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217,4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330,8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4" w:anchor="1633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Середньорічна кількість акцій (шт.)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22004000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22004000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5" w:anchor="1634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Кількість власних акцій, викуплених протягом періоду (шт.)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6" w:anchor="1635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Загальна сума коштів, витрачених на викуп власних акцій протягом періоду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CD7D2F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0</w:t>
            </w:r>
          </w:p>
        </w:tc>
      </w:tr>
      <w:tr w:rsidR="00262A19" w:rsidRPr="00034B16" w:rsidTr="003230E5">
        <w:trPr>
          <w:tblCellSpacing w:w="22" w:type="dxa"/>
        </w:trPr>
        <w:tc>
          <w:tcPr>
            <w:tcW w:w="79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314C54" w:rsidP="00526AE7">
            <w:pPr>
              <w:pStyle w:val="a4"/>
              <w:rPr>
                <w:rFonts w:ascii="Arial" w:hAnsi="Arial" w:cs="Arial"/>
                <w:sz w:val="18"/>
                <w:szCs w:val="18"/>
                <w:lang w:val="uk-UA"/>
              </w:rPr>
            </w:pPr>
            <w:hyperlink r:id="rId27" w:anchor="1636" w:history="1">
              <w:r w:rsidR="00262A19" w:rsidRPr="00034B16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lang w:val="uk-UA"/>
                </w:rPr>
                <w:t>Чисельність працівників на кінець періоду (осіб) </w:t>
              </w:r>
            </w:hyperlink>
          </w:p>
        </w:tc>
        <w:tc>
          <w:tcPr>
            <w:tcW w:w="97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  <w:tc>
          <w:tcPr>
            <w:tcW w:w="12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262A19" w:rsidRPr="00034B16" w:rsidRDefault="00262A19" w:rsidP="00716370">
            <w:pPr>
              <w:pStyle w:val="a4"/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034B16">
              <w:rPr>
                <w:rFonts w:ascii="Arial" w:hAnsi="Arial" w:cs="Arial"/>
                <w:sz w:val="18"/>
                <w:szCs w:val="18"/>
                <w:lang w:val="uk-UA"/>
              </w:rPr>
              <w:t>4</w:t>
            </w:r>
          </w:p>
        </w:tc>
      </w:tr>
    </w:tbl>
    <w:p w:rsidR="00262A19" w:rsidRPr="00F07CED" w:rsidRDefault="00262A19" w:rsidP="00B62BB1">
      <w:pPr>
        <w:spacing w:after="0" w:line="240" w:lineRule="auto"/>
        <w:rPr>
          <w:lang w:val="uk-UA"/>
        </w:rPr>
      </w:pPr>
      <w:r w:rsidRPr="00F07CED">
        <w:rPr>
          <w:lang w:val="uk-UA"/>
        </w:rPr>
        <w:t xml:space="preserve">                                                                                                                                            Керуючий санацією</w:t>
      </w:r>
      <w:bookmarkStart w:id="0" w:name="_GoBack"/>
      <w:bookmarkEnd w:id="0"/>
    </w:p>
    <w:sectPr w:rsidR="00262A19" w:rsidRPr="00F07CED" w:rsidSect="00034B16">
      <w:pgSz w:w="11906" w:h="16838"/>
      <w:pgMar w:top="340" w:right="567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513"/>
    <w:multiLevelType w:val="hybridMultilevel"/>
    <w:tmpl w:val="83CC8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6D4"/>
    <w:multiLevelType w:val="hybridMultilevel"/>
    <w:tmpl w:val="A6D24C8A"/>
    <w:lvl w:ilvl="0" w:tplc="3B5E0308">
      <w:start w:val="1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5DB543C2"/>
    <w:multiLevelType w:val="multilevel"/>
    <w:tmpl w:val="5098344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C7"/>
    <w:rsid w:val="0002139A"/>
    <w:rsid w:val="00033912"/>
    <w:rsid w:val="00034B16"/>
    <w:rsid w:val="000D4F50"/>
    <w:rsid w:val="000E02D0"/>
    <w:rsid w:val="000F37F5"/>
    <w:rsid w:val="001319BA"/>
    <w:rsid w:val="00200FB5"/>
    <w:rsid w:val="00203186"/>
    <w:rsid w:val="00214AB6"/>
    <w:rsid w:val="00250EBA"/>
    <w:rsid w:val="00262A19"/>
    <w:rsid w:val="002C319D"/>
    <w:rsid w:val="00314C54"/>
    <w:rsid w:val="003230E5"/>
    <w:rsid w:val="00356045"/>
    <w:rsid w:val="0036109B"/>
    <w:rsid w:val="003D2912"/>
    <w:rsid w:val="00431A00"/>
    <w:rsid w:val="0045200D"/>
    <w:rsid w:val="004915E5"/>
    <w:rsid w:val="004B43E2"/>
    <w:rsid w:val="0051562D"/>
    <w:rsid w:val="00526AE7"/>
    <w:rsid w:val="00584585"/>
    <w:rsid w:val="005B379C"/>
    <w:rsid w:val="005D03D8"/>
    <w:rsid w:val="005F2C80"/>
    <w:rsid w:val="006648A1"/>
    <w:rsid w:val="00715807"/>
    <w:rsid w:val="00716370"/>
    <w:rsid w:val="007178AF"/>
    <w:rsid w:val="0079413F"/>
    <w:rsid w:val="007A09C5"/>
    <w:rsid w:val="007A38EF"/>
    <w:rsid w:val="007C4855"/>
    <w:rsid w:val="00821177"/>
    <w:rsid w:val="00843198"/>
    <w:rsid w:val="008871D7"/>
    <w:rsid w:val="008B1FBD"/>
    <w:rsid w:val="008E1DF8"/>
    <w:rsid w:val="009310E3"/>
    <w:rsid w:val="009349FF"/>
    <w:rsid w:val="009373C2"/>
    <w:rsid w:val="009820D1"/>
    <w:rsid w:val="00A17B14"/>
    <w:rsid w:val="00A24FC6"/>
    <w:rsid w:val="00A555B2"/>
    <w:rsid w:val="00A61209"/>
    <w:rsid w:val="00A70D53"/>
    <w:rsid w:val="00A8593C"/>
    <w:rsid w:val="00A958D7"/>
    <w:rsid w:val="00AA6635"/>
    <w:rsid w:val="00AF6C3E"/>
    <w:rsid w:val="00B15220"/>
    <w:rsid w:val="00B62BB1"/>
    <w:rsid w:val="00BD0159"/>
    <w:rsid w:val="00BD3D93"/>
    <w:rsid w:val="00C20314"/>
    <w:rsid w:val="00C37523"/>
    <w:rsid w:val="00C63F7E"/>
    <w:rsid w:val="00C830CC"/>
    <w:rsid w:val="00CC04CE"/>
    <w:rsid w:val="00CD7D2F"/>
    <w:rsid w:val="00CE46CF"/>
    <w:rsid w:val="00CF46C7"/>
    <w:rsid w:val="00D37A52"/>
    <w:rsid w:val="00D762A5"/>
    <w:rsid w:val="00DD48B9"/>
    <w:rsid w:val="00E13C4D"/>
    <w:rsid w:val="00E370BB"/>
    <w:rsid w:val="00E85DD5"/>
    <w:rsid w:val="00ED7CE1"/>
    <w:rsid w:val="00F07CED"/>
    <w:rsid w:val="00F7378C"/>
    <w:rsid w:val="00F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03D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03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03D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03D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">
    <w:name w:val="rvps1"/>
    <w:basedOn w:val="a"/>
    <w:uiPriority w:val="99"/>
    <w:rsid w:val="005D03D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50E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02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ed_2009_10_30/an/1617/RE17375.html" TargetMode="External"/><Relationship Id="rId13" Type="http://schemas.openxmlformats.org/officeDocument/2006/relationships/hyperlink" Target="http://search.ligazakon.ua/l_doc2.nsf/link1/ed_2009_10_30/an/1622/RE17375.html" TargetMode="External"/><Relationship Id="rId18" Type="http://schemas.openxmlformats.org/officeDocument/2006/relationships/hyperlink" Target="http://search.ligazakon.ua/l_doc2.nsf/link1/ed_2009_10_30/an/1627/RE17375.html" TargetMode="External"/><Relationship Id="rId26" Type="http://schemas.openxmlformats.org/officeDocument/2006/relationships/hyperlink" Target="http://search.ligazakon.ua/l_doc2.nsf/link1/ed_2009_10_30/an/1635/RE1737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ligazakon.ua/l_doc2.nsf/link1/ed_2009_10_30/an/1630/RE17375.html" TargetMode="External"/><Relationship Id="rId7" Type="http://schemas.openxmlformats.org/officeDocument/2006/relationships/hyperlink" Target="http://search.ligazakon.ua/l_doc2.nsf/link1/ed_2009_10_30/an/1616/RE17375.html" TargetMode="External"/><Relationship Id="rId12" Type="http://schemas.openxmlformats.org/officeDocument/2006/relationships/hyperlink" Target="http://search.ligazakon.ua/l_doc2.nsf/link1/ed_2009_10_30/an/1621/RE17375.html" TargetMode="External"/><Relationship Id="rId17" Type="http://schemas.openxmlformats.org/officeDocument/2006/relationships/hyperlink" Target="http://search.ligazakon.ua/l_doc2.nsf/link1/ed_2009_10_30/an/1626/RE17375.html" TargetMode="External"/><Relationship Id="rId25" Type="http://schemas.openxmlformats.org/officeDocument/2006/relationships/hyperlink" Target="http://search.ligazakon.ua/l_doc2.nsf/link1/ed_2009_10_30/an/1634/RE173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ed_2009_10_30/an/1625/RE17375.html" TargetMode="External"/><Relationship Id="rId20" Type="http://schemas.openxmlformats.org/officeDocument/2006/relationships/hyperlink" Target="http://search.ligazakon.ua/l_doc2.nsf/link1/ed_2009_10_30/an/1629/RE17375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ed_2009_10_30/an/1611/RE17375.html" TargetMode="External"/><Relationship Id="rId11" Type="http://schemas.openxmlformats.org/officeDocument/2006/relationships/hyperlink" Target="http://search.ligazakon.ua/l_doc2.nsf/link1/ed_2009_10_30/an/1620/RE17375.html" TargetMode="External"/><Relationship Id="rId24" Type="http://schemas.openxmlformats.org/officeDocument/2006/relationships/hyperlink" Target="http://search.ligazakon.ua/l_doc2.nsf/link1/ed_2009_10_30/an/1633/RE173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ligazakon.ua/l_doc2.nsf/link1/ed_2009_10_30/an/1624/RE17375.html" TargetMode="External"/><Relationship Id="rId23" Type="http://schemas.openxmlformats.org/officeDocument/2006/relationships/hyperlink" Target="http://search.ligazakon.ua/l_doc2.nsf/link1/ed_2009_10_30/an/1632/RE17375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earch.ligazakon.ua/l_doc2.nsf/link1/ed_2009_10_30/an/1619/RE17375.html" TargetMode="External"/><Relationship Id="rId19" Type="http://schemas.openxmlformats.org/officeDocument/2006/relationships/hyperlink" Target="http://search.ligazakon.ua/l_doc2.nsf/link1/ed_2009_10_30/an/1628/RE1737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ed_2009_10_30/an/1618/RE17375.html" TargetMode="External"/><Relationship Id="rId14" Type="http://schemas.openxmlformats.org/officeDocument/2006/relationships/hyperlink" Target="http://search.ligazakon.ua/l_doc2.nsf/link1/ed_2009_10_30/an/1623/RE17375.html" TargetMode="External"/><Relationship Id="rId22" Type="http://schemas.openxmlformats.org/officeDocument/2006/relationships/hyperlink" Target="http://search.ligazakon.ua/l_doc2.nsf/link1/ed_2009_10_30/an/1631/RE17375.html" TargetMode="External"/><Relationship Id="rId27" Type="http://schemas.openxmlformats.org/officeDocument/2006/relationships/hyperlink" Target="http://search.ligazakon.ua/l_doc2.nsf/link1/ed_2009_10_30/an/1636/RE173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Проминвестбанк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Регистраторы</dc:creator>
  <cp:lastModifiedBy>Elena</cp:lastModifiedBy>
  <cp:revision>4</cp:revision>
  <cp:lastPrinted>2013-03-12T10:14:00Z</cp:lastPrinted>
  <dcterms:created xsi:type="dcterms:W3CDTF">2013-07-19T06:18:00Z</dcterms:created>
  <dcterms:modified xsi:type="dcterms:W3CDTF">2013-07-19T06:19:00Z</dcterms:modified>
</cp:coreProperties>
</file>